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hint="default" w:ascii="Times New Roman" w:hAnsi="Times New Roman" w:eastAsia="黑体" w:cs="Times New Roman"/>
          <w:sz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lang w:val="en-US" w:eastAsia="zh-CN"/>
        </w:rPr>
        <w:t>附件二</w:t>
      </w:r>
    </w:p>
    <w:p>
      <w:pPr>
        <w:spacing w:beforeLines="50" w:afterLines="50"/>
        <w:rPr>
          <w:rFonts w:hint="default" w:ascii="Times New Roman" w:hAnsi="Times New Roman" w:cs="Times New Roman" w:eastAsiaTheme="minorEastAsia"/>
          <w:sz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lang w:eastAsia="zh-CN"/>
        </w:rPr>
        <w:t>硕士研究生课程设置方案</w:t>
      </w:r>
      <w:r>
        <w:rPr>
          <w:rFonts w:hint="default" w:ascii="Times New Roman" w:hAnsi="Times New Roman" w:cs="Times New Roman"/>
          <w:lang w:eastAsia="zh-CN"/>
        </w:rPr>
        <w:t>（总学分为28-32学分，其中学位课学分为16-18学分）</w:t>
      </w:r>
    </w:p>
    <w:tbl>
      <w:tblPr>
        <w:tblStyle w:val="2"/>
        <w:tblW w:w="87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7"/>
        <w:gridCol w:w="2588"/>
        <w:gridCol w:w="811"/>
        <w:gridCol w:w="631"/>
        <w:gridCol w:w="567"/>
        <w:gridCol w:w="567"/>
        <w:gridCol w:w="756"/>
        <w:gridCol w:w="756"/>
        <w:gridCol w:w="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25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  程  名  称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学时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考核学期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考核性质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考试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考查</w:t>
            </w: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公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共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学位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自然辩证法概论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选修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马克思主义与社会科学方法论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新时代中国特色社会主义理论与实践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英语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矩阵理论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567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必修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（不少于两门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  <w:t>各学院可根据研究生培养需要，自设或提出数学等基础类课程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数值分析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数理统计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随机过程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最优化方法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专业学位课</w:t>
            </w: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一级学科学位课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学科前沿专题</w:t>
            </w: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非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公共选修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公共实验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论文写作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口语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选修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  <w:t>各学院可根据研究生培养需要，自设或提出相关课程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文献检索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基础类课程（物理、力学等）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新技术类课程（人工智能、大数据等）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人文素养类课程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选修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模块一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（二级学科或方向课）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选修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模块二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（二级学科或方向课）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补修本科课程</w:t>
            </w:r>
          </w:p>
        </w:tc>
        <w:tc>
          <w:tcPr>
            <w:tcW w:w="7662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由导师根据其指导的研究生培养实际，自行选择补修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本科课程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必修环节</w:t>
            </w: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文献阅读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  <w:t>不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计入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总学分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开题报告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学术交流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实践环节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beforeLines="50" w:afterLines="50"/>
        <w:rPr>
          <w:rFonts w:hint="default" w:ascii="Times New Roman" w:hAnsi="Times New Roman" w:eastAsia="黑体" w:cs="Times New Roman"/>
          <w:sz w:val="24"/>
          <w:lang w:eastAsia="zh-CN"/>
        </w:rPr>
      </w:pPr>
    </w:p>
    <w:p>
      <w:pPr>
        <w:spacing w:beforeLines="50" w:afterLines="5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表中有已明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确标注的课程和环节，红色标注为建议开设的课程，空白部分请自主设置，专业课原则上为32学时2学分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，必修课考核性质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原则上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为考试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DQ1M2FjZjA3YmZlYjQxMDc3MGExNGVmZDZlNjQifQ=="/>
  </w:docVars>
  <w:rsids>
    <w:rsidRoot w:val="6AEB14A1"/>
    <w:rsid w:val="01BF5575"/>
    <w:rsid w:val="02EA7AB7"/>
    <w:rsid w:val="09F3556E"/>
    <w:rsid w:val="132E7181"/>
    <w:rsid w:val="1691452E"/>
    <w:rsid w:val="1B852734"/>
    <w:rsid w:val="1ECB657F"/>
    <w:rsid w:val="20A30DBB"/>
    <w:rsid w:val="2703424F"/>
    <w:rsid w:val="274912B9"/>
    <w:rsid w:val="28FB65E3"/>
    <w:rsid w:val="342257E2"/>
    <w:rsid w:val="3429441A"/>
    <w:rsid w:val="36445C7A"/>
    <w:rsid w:val="3C2E3847"/>
    <w:rsid w:val="3F9803B9"/>
    <w:rsid w:val="481316F0"/>
    <w:rsid w:val="497F3E3C"/>
    <w:rsid w:val="49E146F9"/>
    <w:rsid w:val="4A36664E"/>
    <w:rsid w:val="52A80CDA"/>
    <w:rsid w:val="594F3FA1"/>
    <w:rsid w:val="5AD75A11"/>
    <w:rsid w:val="5D3C796A"/>
    <w:rsid w:val="6AEB14A1"/>
    <w:rsid w:val="6C2A6104"/>
    <w:rsid w:val="6C3C2767"/>
    <w:rsid w:val="6FA75E74"/>
    <w:rsid w:val="7CE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537</Characters>
  <Lines>0</Lines>
  <Paragraphs>0</Paragraphs>
  <TotalTime>1</TotalTime>
  <ScaleCrop>false</ScaleCrop>
  <LinksUpToDate>false</LinksUpToDate>
  <CharactersWithSpaces>543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2019-01-12T11:42:00Z</dcterms:created>
  <dc:creator>Administrator</dc:creator>
  <cp:lastModifiedBy>hua</cp:lastModifiedBy>
  <cp:lastPrinted>2019-01-13T14:25:00Z</cp:lastPrinted>
  <dcterms:modified xsi:type="dcterms:W3CDTF">2022-09-08T07:58:02Z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B41DFA8316B148C7AA757797783AA436</vt:lpwstr>
  </property>
</Properties>
</file>